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08E67" w14:textId="77E1016A" w:rsidR="00345570" w:rsidRPr="00F628C4" w:rsidRDefault="008D684D" w:rsidP="005D55DC">
      <w:pPr>
        <w:pStyle w:val="Heading1"/>
        <w:rPr>
          <w:rFonts w:asciiTheme="minorHAnsi" w:hAnsiTheme="minorHAnsi"/>
          <w:b w:val="0"/>
          <w:color w:val="08BCC1" w:themeColor="accent1"/>
        </w:rPr>
      </w:pPr>
      <w:r w:rsidRPr="00F628C4">
        <w:rPr>
          <w:rFonts w:asciiTheme="minorHAnsi" w:hAnsiTheme="minorHAnsi"/>
          <w:b w:val="0"/>
          <w:color w:val="08BCC1" w:themeColor="accent1"/>
        </w:rPr>
        <w:t>Tool 10</w:t>
      </w:r>
      <w:r w:rsidR="0066138D" w:rsidRPr="00F628C4">
        <w:rPr>
          <w:rFonts w:asciiTheme="minorHAnsi" w:hAnsiTheme="minorHAnsi"/>
          <w:b w:val="0"/>
          <w:color w:val="08BCC1" w:themeColor="accent1"/>
        </w:rPr>
        <w:t>:</w:t>
      </w:r>
      <w:r w:rsidR="00785982" w:rsidRPr="00F628C4">
        <w:rPr>
          <w:rFonts w:asciiTheme="minorHAnsi" w:hAnsiTheme="minorHAnsi"/>
          <w:b w:val="0"/>
          <w:color w:val="08BCC1" w:themeColor="accent1"/>
        </w:rPr>
        <w:t xml:space="preserve"> </w:t>
      </w:r>
      <w:r w:rsidR="00345570" w:rsidRPr="00F628C4">
        <w:rPr>
          <w:rFonts w:asciiTheme="minorHAnsi" w:hAnsiTheme="minorHAnsi"/>
          <w:b w:val="0"/>
          <w:color w:val="08BCC1" w:themeColor="accent1"/>
        </w:rPr>
        <w:t xml:space="preserve">Urban </w:t>
      </w:r>
      <w:r w:rsidR="005D55DC" w:rsidRPr="00F628C4">
        <w:rPr>
          <w:rFonts w:asciiTheme="minorHAnsi" w:hAnsiTheme="minorHAnsi"/>
          <w:b w:val="0"/>
          <w:color w:val="08BCC1" w:themeColor="accent1"/>
        </w:rPr>
        <w:t>context analysis final report outline</w:t>
      </w:r>
    </w:p>
    <w:p w14:paraId="324D4EA6" w14:textId="49CE84F1" w:rsidR="009C2292" w:rsidRPr="005D55DC" w:rsidRDefault="009C2292" w:rsidP="009C2292">
      <w:pPr>
        <w:rPr>
          <w:rFonts w:ascii="Calibri" w:hAnsi="Calibri"/>
        </w:rPr>
      </w:pPr>
      <w:r w:rsidRPr="005D55DC">
        <w:rPr>
          <w:rFonts w:ascii="Calibri" w:hAnsi="Calibri" w:cs="Cambria"/>
          <w:i/>
          <w:iCs/>
          <w:color w:val="000000"/>
        </w:rPr>
        <w:t>Note: This tool is a suggested starting point and should be adapted for each context.</w:t>
      </w:r>
      <w:r w:rsidR="003557FC">
        <w:rPr>
          <w:rFonts w:ascii="Calibri" w:hAnsi="Calibri" w:cs="Cambria"/>
          <w:i/>
          <w:iCs/>
          <w:color w:val="000000"/>
        </w:rPr>
        <w:t xml:space="preserve"> The writing of an executive summary can also be utilized to create an “external” version of the report that is shared more widely than the full report. </w:t>
      </w:r>
    </w:p>
    <w:p w14:paraId="49BC7812" w14:textId="76E618D9" w:rsidR="00345570" w:rsidRPr="005D55DC" w:rsidRDefault="005D55DC" w:rsidP="0034557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Executive s</w:t>
      </w:r>
      <w:r w:rsidR="00345570" w:rsidRPr="005D55DC">
        <w:rPr>
          <w:rFonts w:ascii="Calibri" w:hAnsi="Calibri"/>
        </w:rPr>
        <w:t xml:space="preserve">ummary </w:t>
      </w:r>
    </w:p>
    <w:p w14:paraId="41D7CCDC" w14:textId="2EF92394" w:rsidR="00345570" w:rsidRPr="005D55DC" w:rsidRDefault="00345570" w:rsidP="0034557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Rationale for conducting an urban context analysis</w:t>
      </w:r>
    </w:p>
    <w:p w14:paraId="3EDFCBAE" w14:textId="554A2A75" w:rsidR="00DA2195" w:rsidRPr="005D55DC" w:rsidRDefault="007C4E96" w:rsidP="00DA2195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Crisis profile </w:t>
      </w:r>
    </w:p>
    <w:p w14:paraId="26D6C3A0" w14:textId="194BA88B" w:rsidR="00345570" w:rsidRPr="005D55DC" w:rsidRDefault="00345570" w:rsidP="0034557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Key findings </w:t>
      </w:r>
    </w:p>
    <w:p w14:paraId="784CBB75" w14:textId="15A8E1F4" w:rsidR="00345570" w:rsidRPr="005D55DC" w:rsidRDefault="005D55DC" w:rsidP="00345570">
      <w:pPr>
        <w:pStyle w:val="ListParagraph"/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Implications for p</w:t>
      </w:r>
      <w:r w:rsidR="00AC1789" w:rsidRPr="005D55DC">
        <w:rPr>
          <w:rFonts w:ascii="Calibri" w:hAnsi="Calibri"/>
        </w:rPr>
        <w:t xml:space="preserve">rogramming </w:t>
      </w:r>
    </w:p>
    <w:p w14:paraId="4B481348" w14:textId="77777777" w:rsidR="00345570" w:rsidRPr="005D55DC" w:rsidRDefault="00345570" w:rsidP="00345570">
      <w:pPr>
        <w:pStyle w:val="ListParagraph"/>
        <w:ind w:left="1440"/>
        <w:rPr>
          <w:rFonts w:ascii="Calibri" w:hAnsi="Calibri"/>
        </w:rPr>
      </w:pPr>
    </w:p>
    <w:p w14:paraId="51494155" w14:textId="1BFF6A4B" w:rsidR="00345570" w:rsidRPr="005D55DC" w:rsidRDefault="00C10B1F" w:rsidP="00345570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Introduction</w:t>
      </w:r>
    </w:p>
    <w:p w14:paraId="26747048" w14:textId="2CDA7CE3" w:rsidR="00C10B1F" w:rsidRPr="005D55DC" w:rsidRDefault="005D55DC" w:rsidP="00C10B1F">
      <w:pPr>
        <w:pStyle w:val="ListParagraph"/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Rationale for the context a</w:t>
      </w:r>
      <w:r w:rsidR="00C10B1F" w:rsidRPr="005D55DC">
        <w:rPr>
          <w:rFonts w:ascii="Calibri" w:hAnsi="Calibri"/>
        </w:rPr>
        <w:t xml:space="preserve">nalysis </w:t>
      </w:r>
    </w:p>
    <w:p w14:paraId="0F02D0FB" w14:textId="77777777" w:rsidR="004367FE" w:rsidRPr="005D55DC" w:rsidRDefault="004367FE" w:rsidP="004367FE">
      <w:pPr>
        <w:pStyle w:val="ListParagraph"/>
        <w:ind w:left="1440"/>
        <w:rPr>
          <w:rFonts w:ascii="Calibri" w:hAnsi="Calibri"/>
        </w:rPr>
      </w:pPr>
    </w:p>
    <w:p w14:paraId="62E4DF52" w14:textId="57898962" w:rsidR="002270A3" w:rsidRPr="005D55DC" w:rsidRDefault="00345570" w:rsidP="004367FE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Methodology</w:t>
      </w:r>
    </w:p>
    <w:p w14:paraId="2645CA73" w14:textId="00076475" w:rsidR="004367FE" w:rsidRPr="005D55DC" w:rsidRDefault="004367FE" w:rsidP="00AC1789">
      <w:pPr>
        <w:pStyle w:val="ListParagraph"/>
        <w:numPr>
          <w:ilvl w:val="1"/>
          <w:numId w:val="1"/>
        </w:numPr>
        <w:spacing w:after="0"/>
        <w:rPr>
          <w:rFonts w:ascii="Calibri" w:hAnsi="Calibri"/>
          <w:i/>
        </w:rPr>
      </w:pPr>
      <w:r w:rsidRPr="005D55DC">
        <w:rPr>
          <w:rFonts w:ascii="Calibri" w:hAnsi="Calibri"/>
        </w:rPr>
        <w:t xml:space="preserve">Analysis framework </w:t>
      </w:r>
      <w:r w:rsidRPr="005D55DC">
        <w:rPr>
          <w:rFonts w:ascii="Calibri" w:hAnsi="Calibri"/>
          <w:i/>
        </w:rPr>
        <w:t>[</w:t>
      </w:r>
      <w:r w:rsidR="00885C5E" w:rsidRPr="005D55DC">
        <w:rPr>
          <w:rFonts w:ascii="Calibri" w:hAnsi="Calibri"/>
          <w:i/>
        </w:rPr>
        <w:t xml:space="preserve">Include </w:t>
      </w:r>
      <w:r w:rsidRPr="005D55DC">
        <w:rPr>
          <w:rFonts w:ascii="Calibri" w:hAnsi="Calibri"/>
          <w:i/>
        </w:rPr>
        <w:t xml:space="preserve">themes/sub-themes and </w:t>
      </w:r>
      <w:r w:rsidR="00AC1789" w:rsidRPr="005D55DC">
        <w:rPr>
          <w:rFonts w:ascii="Calibri" w:hAnsi="Calibri"/>
          <w:i/>
        </w:rPr>
        <w:t>guiding questions</w:t>
      </w:r>
      <w:r w:rsidRPr="005D55DC">
        <w:rPr>
          <w:rFonts w:ascii="Calibri" w:hAnsi="Calibri"/>
          <w:i/>
        </w:rPr>
        <w:t>]</w:t>
      </w:r>
    </w:p>
    <w:p w14:paraId="693170B8" w14:textId="42927E44" w:rsidR="00C377D1" w:rsidRPr="005D55DC" w:rsidRDefault="00C377D1" w:rsidP="00885C5E">
      <w:pPr>
        <w:pStyle w:val="ListParagraph"/>
        <w:numPr>
          <w:ilvl w:val="1"/>
          <w:numId w:val="1"/>
        </w:numPr>
        <w:spacing w:after="0"/>
        <w:rPr>
          <w:rFonts w:ascii="Calibri" w:hAnsi="Calibri"/>
        </w:rPr>
      </w:pPr>
      <w:r w:rsidRPr="005D55DC">
        <w:rPr>
          <w:rFonts w:ascii="Calibri" w:hAnsi="Calibri"/>
        </w:rPr>
        <w:t>Selected geographic locations</w:t>
      </w:r>
    </w:p>
    <w:p w14:paraId="16D47B0B" w14:textId="03F57EF3" w:rsidR="001500E8" w:rsidRPr="005D55DC" w:rsidRDefault="004367FE" w:rsidP="00AC1789">
      <w:pPr>
        <w:pStyle w:val="ListParagraph"/>
        <w:numPr>
          <w:ilvl w:val="1"/>
          <w:numId w:val="1"/>
        </w:numPr>
        <w:rPr>
          <w:rFonts w:ascii="Calibri" w:hAnsi="Calibri"/>
          <w:i/>
        </w:rPr>
      </w:pPr>
      <w:r w:rsidRPr="005D55DC">
        <w:rPr>
          <w:rFonts w:ascii="Calibri" w:hAnsi="Calibri"/>
        </w:rPr>
        <w:t>Data Collection</w:t>
      </w:r>
      <w:r w:rsidR="00AC1789" w:rsidRPr="005D55DC">
        <w:rPr>
          <w:rFonts w:ascii="Calibri" w:hAnsi="Calibri"/>
        </w:rPr>
        <w:t xml:space="preserve"> </w:t>
      </w:r>
      <w:r w:rsidR="001500E8" w:rsidRPr="005D55DC">
        <w:rPr>
          <w:rFonts w:ascii="Calibri" w:hAnsi="Calibri"/>
          <w:i/>
        </w:rPr>
        <w:t>[Include completed tables provided on next page]</w:t>
      </w:r>
    </w:p>
    <w:p w14:paraId="18E5E08F" w14:textId="7103E653" w:rsidR="00345570" w:rsidRPr="005D55DC" w:rsidRDefault="00345570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Challenges</w:t>
      </w:r>
      <w:r w:rsidR="005D55DC">
        <w:rPr>
          <w:rFonts w:ascii="Calibri" w:hAnsi="Calibri"/>
        </w:rPr>
        <w:t xml:space="preserve"> and l</w:t>
      </w:r>
      <w:r w:rsidR="00455F30" w:rsidRPr="005D55DC">
        <w:rPr>
          <w:rFonts w:ascii="Calibri" w:hAnsi="Calibri"/>
        </w:rPr>
        <w:t>imitations</w:t>
      </w:r>
      <w:r w:rsidR="004367FE" w:rsidRPr="005D55DC">
        <w:rPr>
          <w:rFonts w:ascii="Calibri" w:hAnsi="Calibri"/>
        </w:rPr>
        <w:t xml:space="preserve"> of analysis</w:t>
      </w:r>
    </w:p>
    <w:p w14:paraId="7E499EAB" w14:textId="77777777" w:rsidR="00455F30" w:rsidRPr="005D55DC" w:rsidRDefault="00455F30" w:rsidP="00455F30">
      <w:pPr>
        <w:pStyle w:val="ListParagraph"/>
        <w:ind w:left="1440"/>
        <w:rPr>
          <w:rFonts w:ascii="Calibri" w:hAnsi="Calibri"/>
        </w:rPr>
      </w:pPr>
    </w:p>
    <w:p w14:paraId="2E55CE7B" w14:textId="3CE6CC7E" w:rsidR="004367FE" w:rsidRPr="005D55DC" w:rsidRDefault="005D55DC" w:rsidP="00AC1789">
      <w:pPr>
        <w:pStyle w:val="ListParagraph"/>
        <w:numPr>
          <w:ilvl w:val="0"/>
          <w:numId w:val="1"/>
        </w:numPr>
        <w:rPr>
          <w:rFonts w:ascii="Calibri" w:hAnsi="Calibri"/>
          <w:i/>
        </w:rPr>
      </w:pPr>
      <w:r>
        <w:rPr>
          <w:rFonts w:ascii="Calibri" w:hAnsi="Calibri"/>
        </w:rPr>
        <w:t>Crisis p</w:t>
      </w:r>
      <w:r w:rsidR="007C4E96" w:rsidRPr="005D55DC">
        <w:rPr>
          <w:rFonts w:ascii="Calibri" w:hAnsi="Calibri"/>
        </w:rPr>
        <w:t xml:space="preserve">rofile </w:t>
      </w:r>
      <w:r>
        <w:rPr>
          <w:rFonts w:ascii="Calibri" w:hAnsi="Calibri"/>
          <w:i/>
        </w:rPr>
        <w:t>[</w:t>
      </w:r>
      <w:r w:rsidR="003557FC">
        <w:rPr>
          <w:rFonts w:ascii="Calibri" w:hAnsi="Calibri"/>
          <w:i/>
        </w:rPr>
        <w:t xml:space="preserve">use findings from </w:t>
      </w:r>
      <w:r w:rsidR="003557FC" w:rsidRPr="003557FC">
        <w:rPr>
          <w:rFonts w:ascii="Calibri" w:hAnsi="Calibri"/>
          <w:b/>
          <w:i/>
        </w:rPr>
        <w:t>Tool 2 Desk review</w:t>
      </w:r>
      <w:r w:rsidR="003557FC">
        <w:rPr>
          <w:rFonts w:ascii="Calibri" w:hAnsi="Calibri"/>
          <w:i/>
        </w:rPr>
        <w:t xml:space="preserve"> and </w:t>
      </w:r>
      <w:r w:rsidR="003557FC" w:rsidRPr="003557FC">
        <w:rPr>
          <w:rFonts w:ascii="Calibri" w:hAnsi="Calibri"/>
          <w:b/>
          <w:i/>
        </w:rPr>
        <w:t>Tool 7 Key findings</w:t>
      </w:r>
      <w:r w:rsidR="003557FC"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</w:rPr>
        <w:t>a</w:t>
      </w:r>
      <w:r w:rsidR="009158A5" w:rsidRPr="005D55DC">
        <w:rPr>
          <w:rFonts w:ascii="Calibri" w:hAnsi="Calibri"/>
          <w:i/>
        </w:rPr>
        <w:t>da</w:t>
      </w:r>
      <w:r w:rsidR="004367FE" w:rsidRPr="005D55DC">
        <w:rPr>
          <w:rFonts w:ascii="Calibri" w:hAnsi="Calibri"/>
          <w:i/>
        </w:rPr>
        <w:t>pt sub-sections according to context</w:t>
      </w:r>
      <w:r w:rsidR="003557FC">
        <w:rPr>
          <w:rFonts w:ascii="Calibri" w:hAnsi="Calibri"/>
          <w:i/>
        </w:rPr>
        <w:t xml:space="preserve"> as needed</w:t>
      </w:r>
      <w:r w:rsidR="004367FE" w:rsidRPr="005D55DC">
        <w:rPr>
          <w:rFonts w:ascii="Calibri" w:hAnsi="Calibri"/>
          <w:i/>
        </w:rPr>
        <w:t>]</w:t>
      </w:r>
    </w:p>
    <w:p w14:paraId="087AC3B2" w14:textId="19279326" w:rsidR="00455F30" w:rsidRPr="005D55DC" w:rsidRDefault="007C4E96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Brief history of city and demographic trends</w:t>
      </w:r>
    </w:p>
    <w:p w14:paraId="5D692044" w14:textId="07092061" w:rsidR="007C4E96" w:rsidRPr="005D55DC" w:rsidRDefault="007C4E96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Profile of the crisis</w:t>
      </w:r>
    </w:p>
    <w:p w14:paraId="1FB1DCC0" w14:textId="77777777" w:rsidR="007C4E96" w:rsidRPr="005D55DC" w:rsidRDefault="007C4E96" w:rsidP="001667D6">
      <w:pPr>
        <w:pStyle w:val="ListParagraph"/>
        <w:numPr>
          <w:ilvl w:val="2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Displacement trends</w:t>
      </w:r>
    </w:p>
    <w:p w14:paraId="3D18F453" w14:textId="79D49538" w:rsidR="00455F30" w:rsidRPr="005D55DC" w:rsidRDefault="007C4E96" w:rsidP="001667D6">
      <w:pPr>
        <w:pStyle w:val="ListParagraph"/>
        <w:numPr>
          <w:ilvl w:val="2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Impact on the city  </w:t>
      </w:r>
    </w:p>
    <w:p w14:paraId="0F665410" w14:textId="77777777" w:rsidR="00455F30" w:rsidRPr="005D55DC" w:rsidRDefault="00455F30" w:rsidP="00455F30">
      <w:pPr>
        <w:pStyle w:val="ListParagraph"/>
        <w:ind w:left="1440"/>
        <w:rPr>
          <w:rFonts w:ascii="Calibri" w:hAnsi="Calibri"/>
        </w:rPr>
      </w:pPr>
    </w:p>
    <w:p w14:paraId="3888A6CF" w14:textId="45972005" w:rsidR="00345570" w:rsidRPr="005D55DC" w:rsidRDefault="005D55DC" w:rsidP="0034557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Key fi</w:t>
      </w:r>
      <w:r w:rsidR="00345570" w:rsidRPr="005D55DC">
        <w:rPr>
          <w:rFonts w:ascii="Calibri" w:hAnsi="Calibri"/>
        </w:rPr>
        <w:t>ndings</w:t>
      </w:r>
      <w:r w:rsidR="003557FC">
        <w:rPr>
          <w:rFonts w:ascii="Calibri" w:hAnsi="Calibri"/>
        </w:rPr>
        <w:t xml:space="preserve"> </w:t>
      </w:r>
      <w:r w:rsidR="003557FC" w:rsidRPr="003557FC">
        <w:rPr>
          <w:rFonts w:ascii="Calibri" w:hAnsi="Calibri"/>
          <w:i/>
        </w:rPr>
        <w:t xml:space="preserve">[use findings consolidated in </w:t>
      </w:r>
      <w:r w:rsidR="003557FC" w:rsidRPr="003557FC">
        <w:rPr>
          <w:rFonts w:ascii="Calibri" w:hAnsi="Calibri"/>
          <w:b/>
          <w:i/>
        </w:rPr>
        <w:t>Tool 7</w:t>
      </w:r>
      <w:r w:rsidR="003557FC">
        <w:rPr>
          <w:rFonts w:ascii="Calibri" w:hAnsi="Calibri"/>
          <w:b/>
          <w:i/>
        </w:rPr>
        <w:t xml:space="preserve"> Key findings</w:t>
      </w:r>
      <w:r w:rsidR="003557FC" w:rsidRPr="003557FC">
        <w:rPr>
          <w:rFonts w:ascii="Calibri" w:hAnsi="Calibri"/>
          <w:i/>
        </w:rPr>
        <w:t>]</w:t>
      </w:r>
    </w:p>
    <w:p w14:paraId="62A64F36" w14:textId="5C219516" w:rsidR="00546E45" w:rsidRPr="005D55DC" w:rsidRDefault="007C4E96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Politics and governance</w:t>
      </w:r>
    </w:p>
    <w:p w14:paraId="2139B40B" w14:textId="778B83D4" w:rsidR="00546E45" w:rsidRPr="005D55DC" w:rsidRDefault="00546E45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Social</w:t>
      </w:r>
      <w:r w:rsidR="008F4C1B" w:rsidRPr="005D55DC">
        <w:rPr>
          <w:rFonts w:ascii="Calibri" w:hAnsi="Calibri"/>
        </w:rPr>
        <w:t xml:space="preserve"> and cultural</w:t>
      </w:r>
    </w:p>
    <w:p w14:paraId="7593F930" w14:textId="48CB93C2" w:rsidR="00546E45" w:rsidRPr="005D55DC" w:rsidRDefault="00546E45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Economic</w:t>
      </w:r>
    </w:p>
    <w:p w14:paraId="14AB139A" w14:textId="1BF4872C" w:rsidR="00546E45" w:rsidRPr="005D55DC" w:rsidRDefault="008F4C1B" w:rsidP="00455F30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Service </w:t>
      </w:r>
      <w:r w:rsidR="005D55DC" w:rsidRPr="005D55DC">
        <w:rPr>
          <w:rFonts w:ascii="Calibri" w:hAnsi="Calibri"/>
        </w:rPr>
        <w:t>delivery and infrastructure</w:t>
      </w:r>
    </w:p>
    <w:p w14:paraId="4662DF27" w14:textId="7CDC134B" w:rsidR="002270A3" w:rsidRPr="005D55DC" w:rsidRDefault="005D55DC" w:rsidP="008F4C1B">
      <w:pPr>
        <w:pStyle w:val="ListParagraph"/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>Space and s</w:t>
      </w:r>
      <w:r w:rsidR="008F4C1B" w:rsidRPr="005D55DC">
        <w:rPr>
          <w:rFonts w:ascii="Calibri" w:hAnsi="Calibri"/>
        </w:rPr>
        <w:t>ettlements</w:t>
      </w:r>
    </w:p>
    <w:p w14:paraId="3C38F087" w14:textId="77777777" w:rsidR="00C377D1" w:rsidRPr="005D55DC" w:rsidRDefault="00C377D1" w:rsidP="00C377D1">
      <w:pPr>
        <w:pStyle w:val="ListParagraph"/>
        <w:ind w:left="1440"/>
        <w:rPr>
          <w:rFonts w:ascii="Calibri" w:hAnsi="Calibri"/>
        </w:rPr>
      </w:pPr>
    </w:p>
    <w:p w14:paraId="5F232D81" w14:textId="3D03C5FC" w:rsidR="002270A3" w:rsidRPr="005D55DC" w:rsidRDefault="005D55DC" w:rsidP="002270A3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Implications for p</w:t>
      </w:r>
      <w:r w:rsidR="00AC1789" w:rsidRPr="005D55DC">
        <w:rPr>
          <w:rFonts w:ascii="Calibri" w:hAnsi="Calibri"/>
        </w:rPr>
        <w:t xml:space="preserve">rogramming </w:t>
      </w:r>
      <w:r w:rsidR="003557FC" w:rsidRPr="003557FC">
        <w:rPr>
          <w:rFonts w:ascii="Calibri" w:hAnsi="Calibri"/>
          <w:i/>
        </w:rPr>
        <w:t xml:space="preserve">[use </w:t>
      </w:r>
      <w:r w:rsidR="003557FC">
        <w:rPr>
          <w:rFonts w:ascii="Calibri" w:hAnsi="Calibri"/>
          <w:i/>
        </w:rPr>
        <w:t xml:space="preserve">tables </w:t>
      </w:r>
      <w:r w:rsidR="003557FC" w:rsidRPr="003557FC">
        <w:rPr>
          <w:rFonts w:ascii="Calibri" w:hAnsi="Calibri"/>
          <w:i/>
        </w:rPr>
        <w:t xml:space="preserve"> from </w:t>
      </w:r>
      <w:r w:rsidR="003557FC" w:rsidRPr="003557FC">
        <w:rPr>
          <w:rFonts w:ascii="Calibri" w:hAnsi="Calibri"/>
          <w:b/>
          <w:i/>
        </w:rPr>
        <w:t>Tool 8</w:t>
      </w:r>
      <w:r w:rsidR="003557FC">
        <w:rPr>
          <w:rFonts w:ascii="Calibri" w:hAnsi="Calibri"/>
          <w:b/>
          <w:i/>
        </w:rPr>
        <w:t xml:space="preserve"> Program implications</w:t>
      </w:r>
      <w:r w:rsidR="003557FC" w:rsidRPr="003557FC">
        <w:rPr>
          <w:rFonts w:ascii="Calibri" w:hAnsi="Calibri"/>
          <w:i/>
        </w:rPr>
        <w:t>]</w:t>
      </w:r>
    </w:p>
    <w:p w14:paraId="74FC6C7F" w14:textId="3F1FF610" w:rsidR="002270A3" w:rsidRPr="005D55DC" w:rsidRDefault="00AC1789" w:rsidP="002270A3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Key </w:t>
      </w:r>
      <w:r w:rsidR="005D55DC" w:rsidRPr="005D55DC">
        <w:rPr>
          <w:rFonts w:ascii="Calibri" w:hAnsi="Calibri"/>
        </w:rPr>
        <w:t>opportunities for programming</w:t>
      </w:r>
    </w:p>
    <w:p w14:paraId="77FAF453" w14:textId="77777777" w:rsidR="003557FC" w:rsidRDefault="00AC1789" w:rsidP="002270A3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Partnerships for </w:t>
      </w:r>
      <w:r w:rsidR="005D55DC" w:rsidRPr="005D55DC">
        <w:rPr>
          <w:rFonts w:ascii="Calibri" w:hAnsi="Calibri"/>
        </w:rPr>
        <w:t xml:space="preserve">programming </w:t>
      </w:r>
    </w:p>
    <w:p w14:paraId="794F9C27" w14:textId="4E5766D2" w:rsidR="00AC1789" w:rsidRPr="005D55DC" w:rsidRDefault="003557FC" w:rsidP="002270A3">
      <w:pPr>
        <w:pStyle w:val="ListParagraph"/>
        <w:numPr>
          <w:ilvl w:val="1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Partnerships for </w:t>
      </w:r>
      <w:r w:rsidR="005D55DC" w:rsidRPr="005D55DC">
        <w:rPr>
          <w:rFonts w:ascii="Calibri" w:hAnsi="Calibri"/>
        </w:rPr>
        <w:t xml:space="preserve">advocacy </w:t>
      </w:r>
    </w:p>
    <w:p w14:paraId="7E268FFB" w14:textId="34557B55" w:rsidR="00AC1789" w:rsidRPr="005D55DC" w:rsidRDefault="00AC1789" w:rsidP="002270A3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 xml:space="preserve">Risk mitigation strategies </w:t>
      </w:r>
    </w:p>
    <w:p w14:paraId="1B292EF1" w14:textId="277D3715" w:rsidR="0057781F" w:rsidRPr="005D55DC" w:rsidRDefault="00FC75A8" w:rsidP="00AC1789">
      <w:pPr>
        <w:pStyle w:val="ListParagraph"/>
        <w:numPr>
          <w:ilvl w:val="1"/>
          <w:numId w:val="1"/>
        </w:numPr>
        <w:rPr>
          <w:rFonts w:ascii="Calibri" w:hAnsi="Calibri"/>
        </w:rPr>
      </w:pPr>
      <w:r w:rsidRPr="005D55DC">
        <w:rPr>
          <w:rFonts w:ascii="Calibri" w:hAnsi="Calibri"/>
        </w:rPr>
        <w:t>Ideas for harnessing areas of common interest/connectors</w:t>
      </w:r>
    </w:p>
    <w:p w14:paraId="5B97CF7C" w14:textId="77777777" w:rsidR="001500E8" w:rsidRPr="005D55DC" w:rsidRDefault="001500E8" w:rsidP="001500E8">
      <w:pPr>
        <w:rPr>
          <w:rFonts w:ascii="Calibri" w:hAnsi="Calibri"/>
        </w:rPr>
        <w:sectPr w:rsidR="001500E8" w:rsidRPr="005D55DC" w:rsidSect="00392B9F">
          <w:footerReference w:type="default" r:id="rId8"/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14:paraId="69FFA52E" w14:textId="6F6148A3" w:rsidR="001500E8" w:rsidRPr="005D55DC" w:rsidRDefault="00BB3864" w:rsidP="001500E8">
      <w:pPr>
        <w:rPr>
          <w:rFonts w:ascii="Calibri" w:hAnsi="Calibri"/>
          <w:i/>
        </w:rPr>
      </w:pPr>
      <w:r w:rsidRPr="005D55DC">
        <w:rPr>
          <w:rFonts w:ascii="Calibri" w:hAnsi="Calibri"/>
          <w:i/>
        </w:rPr>
        <w:lastRenderedPageBreak/>
        <w:t xml:space="preserve">Summary of </w:t>
      </w:r>
      <w:r w:rsidR="005D55DC" w:rsidRPr="005D55DC">
        <w:rPr>
          <w:rFonts w:ascii="Calibri" w:hAnsi="Calibri"/>
          <w:i/>
        </w:rPr>
        <w:t>data collection methodology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43"/>
        <w:gridCol w:w="1645"/>
        <w:gridCol w:w="1645"/>
        <w:gridCol w:w="1643"/>
      </w:tblGrid>
      <w:tr w:rsidR="001500E8" w:rsidRPr="005D55DC" w14:paraId="56C5080A" w14:textId="77777777" w:rsidTr="00F628C4">
        <w:trPr>
          <w:trHeight w:val="300"/>
        </w:trPr>
        <w:tc>
          <w:tcPr>
            <w:tcW w:w="242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0F70CD73" w14:textId="19C99FC4" w:rsidR="001500E8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City-w</w:t>
            </w:r>
            <w:r w:rsidR="007C4E96"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ide - KII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7586724A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Male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41DB85F5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Female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1DAED243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</w:tr>
      <w:tr w:rsidR="001500E8" w:rsidRPr="005D55DC" w14:paraId="1DC27637" w14:textId="77777777" w:rsidTr="007C4E96">
        <w:trPr>
          <w:trHeight w:val="300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4E35" w14:textId="546FAD44" w:rsidR="001500E8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Number of l</w:t>
            </w:r>
            <w:r w:rsidR="001500E8" w:rsidRPr="005D55DC">
              <w:rPr>
                <w:rFonts w:ascii="Calibri" w:eastAsia="Times New Roman" w:hAnsi="Calibri" w:cs="Times New Roman"/>
                <w:color w:val="000000"/>
              </w:rPr>
              <w:t xml:space="preserve">ocal NGOs 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3AA5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9B4A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74D6F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C4E96" w:rsidRPr="005D55DC" w14:paraId="07ECE89A" w14:textId="77777777" w:rsidTr="007C4E96">
        <w:trPr>
          <w:trHeight w:val="300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995E" w14:textId="23F7CB17" w:rsidR="007C4E96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Number of i</w:t>
            </w:r>
            <w:r w:rsidR="007C4E96" w:rsidRPr="005D55DC">
              <w:rPr>
                <w:rFonts w:ascii="Calibri" w:eastAsia="Times New Roman" w:hAnsi="Calibri" w:cs="Times New Roman"/>
                <w:color w:val="000000"/>
              </w:rPr>
              <w:t>nternational NGOs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68F66" w14:textId="52FAF98E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83D9C" w14:textId="0144A6C3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E03F64" w14:textId="41BE4914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C4E96" w:rsidRPr="005D55DC" w14:paraId="7A90ED93" w14:textId="77777777" w:rsidTr="007C4E96">
        <w:trPr>
          <w:trHeight w:val="300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DC1E" w14:textId="79E42650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Number of</w:t>
            </w:r>
            <w:r w:rsidR="005D55DC" w:rsidRPr="005D55DC">
              <w:rPr>
                <w:rFonts w:ascii="Calibri" w:eastAsia="Times New Roman" w:hAnsi="Calibri" w:cs="Times New Roman"/>
                <w:color w:val="000000"/>
              </w:rPr>
              <w:t xml:space="preserve"> government stakeholders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5753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B843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5A327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C4E96" w:rsidRPr="005D55DC" w14:paraId="1F7BF24F" w14:textId="77777777" w:rsidTr="007C4E96">
        <w:trPr>
          <w:trHeight w:val="300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8C42" w14:textId="2755FC8A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 xml:space="preserve">Number of </w:t>
            </w:r>
            <w:r w:rsidR="005D55DC" w:rsidRPr="005D55DC">
              <w:rPr>
                <w:rFonts w:ascii="Calibri" w:eastAsia="Times New Roman" w:hAnsi="Calibri" w:cs="Times New Roman"/>
                <w:color w:val="000000"/>
              </w:rPr>
              <w:t>private sector stakeholders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DBC5C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FDCFA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BD4E91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4E96" w:rsidRPr="005D55DC" w14:paraId="6608DDD4" w14:textId="77777777" w:rsidTr="007C4E96">
        <w:trPr>
          <w:trHeight w:val="300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0A3B" w14:textId="4CBAA586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Number o</w:t>
            </w:r>
            <w:r w:rsidR="005D55DC" w:rsidRPr="005D55DC">
              <w:rPr>
                <w:rFonts w:ascii="Calibri" w:eastAsia="Times New Roman" w:hAnsi="Calibri" w:cs="Times New Roman"/>
                <w:color w:val="000000"/>
              </w:rPr>
              <w:t>f donors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5FCA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8081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EB094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C4E96" w:rsidRPr="005D55DC" w14:paraId="34B58594" w14:textId="77777777" w:rsidTr="007C4E96">
        <w:trPr>
          <w:trHeight w:val="319"/>
        </w:trPr>
        <w:tc>
          <w:tcPr>
            <w:tcW w:w="242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F377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1A30" w14:textId="71D83C5F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063F3" w14:textId="2624EE57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074A2D" w14:textId="765E991D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32D24174" w14:textId="77777777" w:rsidR="001500E8" w:rsidRPr="005D55DC" w:rsidRDefault="001500E8" w:rsidP="001500E8">
      <w:pPr>
        <w:rPr>
          <w:rFonts w:ascii="Calibri" w:hAnsi="Calibri"/>
          <w:i/>
        </w:rPr>
      </w:pPr>
    </w:p>
    <w:tbl>
      <w:tblPr>
        <w:tblW w:w="5042" w:type="pct"/>
        <w:tblLayout w:type="fixed"/>
        <w:tblLook w:val="04A0" w:firstRow="1" w:lastRow="0" w:firstColumn="1" w:lastColumn="0" w:noHBand="0" w:noVBand="1"/>
      </w:tblPr>
      <w:tblGrid>
        <w:gridCol w:w="3527"/>
        <w:gridCol w:w="720"/>
        <w:gridCol w:w="1081"/>
        <w:gridCol w:w="809"/>
        <w:gridCol w:w="900"/>
        <w:gridCol w:w="937"/>
        <w:gridCol w:w="954"/>
        <w:gridCol w:w="728"/>
      </w:tblGrid>
      <w:tr w:rsidR="00D85F6D" w:rsidRPr="005D55DC" w14:paraId="06D6AFA9" w14:textId="77777777" w:rsidTr="003E5F43">
        <w:trPr>
          <w:trHeight w:val="304"/>
        </w:trPr>
        <w:tc>
          <w:tcPr>
            <w:tcW w:w="182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4725CBF1" w14:textId="7F79EECC" w:rsidR="001500E8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Area</w:t>
            </w:r>
            <w:r w:rsid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l</w:t>
            </w:r>
            <w:r w:rsidR="001500E8"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evel - </w:t>
            </w: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KII</w:t>
            </w:r>
          </w:p>
        </w:tc>
        <w:tc>
          <w:tcPr>
            <w:tcW w:w="9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EF2F3" w:themeFill="accent2"/>
            <w:noWrap/>
            <w:vAlign w:val="bottom"/>
            <w:hideMark/>
          </w:tcPr>
          <w:p w14:paraId="100DBD5D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1]</w:t>
            </w:r>
          </w:p>
        </w:tc>
        <w:tc>
          <w:tcPr>
            <w:tcW w:w="88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EF2F3" w:themeFill="accent2"/>
            <w:noWrap/>
            <w:vAlign w:val="bottom"/>
            <w:hideMark/>
          </w:tcPr>
          <w:p w14:paraId="7A263FF8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2]</w:t>
            </w:r>
          </w:p>
        </w:tc>
        <w:tc>
          <w:tcPr>
            <w:tcW w:w="97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EF2F3" w:themeFill="accent2"/>
            <w:noWrap/>
            <w:vAlign w:val="bottom"/>
            <w:hideMark/>
          </w:tcPr>
          <w:p w14:paraId="28710D39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3]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14150E6A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</w:tr>
      <w:tr w:rsidR="00D85F6D" w:rsidRPr="005D55DC" w14:paraId="58406238" w14:textId="77777777" w:rsidTr="003E5F43">
        <w:trPr>
          <w:trHeight w:val="304"/>
        </w:trPr>
        <w:tc>
          <w:tcPr>
            <w:tcW w:w="1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8DE1" w14:textId="77777777" w:rsidR="001500E8" w:rsidRPr="005D55DC" w:rsidRDefault="001500E8" w:rsidP="005D55D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E661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Male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D175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Female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5483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Male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0BB8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Female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5B7F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Male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062E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Female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F3E5" w14:textId="0F90EE45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5F6D" w:rsidRPr="005D55DC" w14:paraId="2F793A46" w14:textId="77777777" w:rsidTr="003E5F43">
        <w:trPr>
          <w:trHeight w:val="304"/>
        </w:trPr>
        <w:tc>
          <w:tcPr>
            <w:tcW w:w="1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E9DE" w14:textId="16DD6020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government stakeholders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B63B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9AFA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1C5F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4127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4A6F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7949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D41D" w14:textId="461173F4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5F6D" w:rsidRPr="005D55DC" w14:paraId="254991D9" w14:textId="77777777" w:rsidTr="003E5F43">
        <w:trPr>
          <w:trHeight w:val="304"/>
        </w:trPr>
        <w:tc>
          <w:tcPr>
            <w:tcW w:w="1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4BD2" w14:textId="28D02833" w:rsidR="001500E8" w:rsidRPr="005D55DC" w:rsidRDefault="005D55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 xml:space="preserve">umber of community leaders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A090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9604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1242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6317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3F9A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AD0B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5E60" w14:textId="269A3BE6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5F6D" w:rsidRPr="005D55DC" w14:paraId="65C1B157" w14:textId="77777777" w:rsidTr="003E5F43">
        <w:trPr>
          <w:trHeight w:val="304"/>
        </w:trPr>
        <w:tc>
          <w:tcPr>
            <w:tcW w:w="1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E6CF" w14:textId="08F6A6D7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 xml:space="preserve">umber of businesses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56C8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30B6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B246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0085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C708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5A25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07EC" w14:textId="05F89B62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5F6D" w:rsidRPr="005D55DC" w14:paraId="3DF9C07A" w14:textId="77777777" w:rsidTr="003E5F43">
        <w:trPr>
          <w:trHeight w:val="304"/>
        </w:trPr>
        <w:tc>
          <w:tcPr>
            <w:tcW w:w="1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30D1" w14:textId="1FD50E97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 xml:space="preserve">umber of service providers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B671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D1D5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CED8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EEB0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B4F3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8E0A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30593" w14:textId="2D6DB440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5F6D" w:rsidRPr="005D55DC" w14:paraId="0D87D514" w14:textId="77777777" w:rsidTr="003E5F43">
        <w:trPr>
          <w:trHeight w:val="323"/>
        </w:trPr>
        <w:tc>
          <w:tcPr>
            <w:tcW w:w="182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EDB3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BCA6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173A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DA0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FFFF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B08E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0609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67ED" w14:textId="64A8D72F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2F061BFC" w14:textId="77777777" w:rsidR="001500E8" w:rsidRPr="005D55DC" w:rsidRDefault="001500E8" w:rsidP="001500E8">
      <w:pPr>
        <w:rPr>
          <w:rFonts w:ascii="Calibri" w:hAnsi="Calibri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10"/>
        <w:gridCol w:w="895"/>
        <w:gridCol w:w="1333"/>
        <w:gridCol w:w="729"/>
        <w:gridCol w:w="1088"/>
        <w:gridCol w:w="670"/>
        <w:gridCol w:w="868"/>
        <w:gridCol w:w="683"/>
      </w:tblGrid>
      <w:tr w:rsidR="001500E8" w:rsidRPr="005D55DC" w14:paraId="4015E6CA" w14:textId="77777777" w:rsidTr="00F628C4">
        <w:trPr>
          <w:trHeight w:val="300"/>
        </w:trPr>
        <w:tc>
          <w:tcPr>
            <w:tcW w:w="16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186C6379" w14:textId="4779027C" w:rsidR="001500E8" w:rsidRPr="005D55DC" w:rsidRDefault="007C4E96" w:rsidP="005D55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Area-</w:t>
            </w:r>
            <w:r w:rsid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l</w:t>
            </w:r>
            <w:r w:rsidR="003557F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evel – FGD individuals </w:t>
            </w:r>
          </w:p>
        </w:tc>
        <w:tc>
          <w:tcPr>
            <w:tcW w:w="119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EF2F3" w:themeFill="accent2"/>
            <w:noWrap/>
            <w:vAlign w:val="bottom"/>
            <w:hideMark/>
          </w:tcPr>
          <w:p w14:paraId="1130D308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1]</w:t>
            </w:r>
          </w:p>
        </w:tc>
        <w:tc>
          <w:tcPr>
            <w:tcW w:w="97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EF2F3" w:themeFill="accent2"/>
            <w:noWrap/>
            <w:vAlign w:val="bottom"/>
            <w:hideMark/>
          </w:tcPr>
          <w:p w14:paraId="191C849E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2]</w:t>
            </w:r>
          </w:p>
        </w:tc>
        <w:tc>
          <w:tcPr>
            <w:tcW w:w="76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EF2F3" w:themeFill="accent2"/>
            <w:noWrap/>
            <w:vAlign w:val="bottom"/>
            <w:hideMark/>
          </w:tcPr>
          <w:p w14:paraId="76186967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3]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2190839D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</w:tr>
      <w:tr w:rsidR="001500E8" w:rsidRPr="005D55DC" w14:paraId="02E340A9" w14:textId="77777777" w:rsidTr="00C124D1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BB89" w14:textId="77777777" w:rsidR="001500E8" w:rsidRPr="005D55DC" w:rsidRDefault="001500E8" w:rsidP="005D55DC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3CAD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Male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A4BF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Female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FC71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Male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58B6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Female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19E7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Male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A050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Female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FE65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124D1" w:rsidRPr="005D55DC" w14:paraId="29DA089E" w14:textId="77777777" w:rsidTr="007C4E96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504F" w14:textId="44CDF438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men displaced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9DA63" w14:textId="011A82A6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3C0A30" w14:textId="65B58E21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FC7CE" w14:textId="2CC03B74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0E0AF" w14:textId="14B6329C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871E9" w14:textId="7198F9DB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6FDC4" w14:textId="14ED606D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2274A" w14:textId="4D92D475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4D1" w:rsidRPr="005D55DC" w14:paraId="12D608C8" w14:textId="77777777" w:rsidTr="007C4E96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5ADC" w14:textId="35AD2FB5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men host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6F6C03" w14:textId="66CB3DFA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F6A82" w14:textId="7D0292EB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5D8A4" w14:textId="3853AC3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4D621" w14:textId="01A8806E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7A5ED" w14:textId="2E6C092B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54B31" w14:textId="7B6A0C6F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26554" w14:textId="7112DB0A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4D1" w:rsidRPr="005D55DC" w14:paraId="4905AA2D" w14:textId="77777777" w:rsidTr="007C4E96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9C26" w14:textId="77B0E762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women displaced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24030" w14:textId="3E7D3F4F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A537E0" w14:textId="44D51B18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D35F7" w14:textId="240DE9F5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BF0F1" w14:textId="5CAAEB33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70779" w14:textId="6380BBA1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67019" w14:textId="39509569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718F7" w14:textId="1E157C5C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4D1" w:rsidRPr="005D55DC" w14:paraId="4889B3B4" w14:textId="77777777" w:rsidTr="007C4E96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5025" w14:textId="79E76D92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women host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58671" w14:textId="041B6B72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35F36" w14:textId="222F1A94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18835E" w14:textId="15ACD333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48471" w14:textId="247E2060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9ADFB" w14:textId="43C2D54F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4423C" w14:textId="2804306F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DDFA5" w14:textId="65F2A080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4D1" w:rsidRPr="005D55DC" w14:paraId="631C6DBB" w14:textId="77777777" w:rsidTr="007C4E96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D668" w14:textId="07F3DE1B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youth displaced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141B4" w14:textId="3D322570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25BC6" w14:textId="388ABAEF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79C6A" w14:textId="66F3F855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84E0B" w14:textId="2CD0F281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6FD65" w14:textId="71217D4D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40034" w14:textId="2FD7493D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B60B" w14:textId="2AF5B96D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24D1" w:rsidRPr="005D55DC" w14:paraId="78ED6431" w14:textId="77777777" w:rsidTr="007C4E96">
        <w:trPr>
          <w:trHeight w:val="300"/>
        </w:trPr>
        <w:tc>
          <w:tcPr>
            <w:tcW w:w="1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7F71" w14:textId="590E85DF" w:rsidR="001500E8" w:rsidRPr="005D55DC" w:rsidRDefault="005D55DC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youth host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7EA18" w14:textId="09CC3731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C5E9A" w14:textId="683664F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62984" w14:textId="2321F165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37243" w14:textId="203B6F1A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034EDA" w14:textId="41421C10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F4EB38" w14:textId="04A17640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9E16" w14:textId="47D2FF85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500E8" w:rsidRPr="005D55DC" w14:paraId="45E7391C" w14:textId="77777777" w:rsidTr="007C4E96">
        <w:trPr>
          <w:trHeight w:val="315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A077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C807" w14:textId="56E045D1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835E" w14:textId="1F3F34FB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F8A4A" w14:textId="5D018B05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E3E4" w14:textId="64599DA4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85B6" w14:textId="3895C2A9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54F77" w14:textId="6C4F484E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6527B" w14:textId="7A6E1602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18900BC7" w14:textId="77777777" w:rsidR="001500E8" w:rsidRPr="005D55DC" w:rsidRDefault="001500E8" w:rsidP="001500E8">
      <w:pPr>
        <w:rPr>
          <w:rFonts w:ascii="Calibri" w:hAnsi="Calibri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80"/>
        <w:gridCol w:w="1483"/>
        <w:gridCol w:w="1483"/>
        <w:gridCol w:w="1482"/>
        <w:gridCol w:w="948"/>
      </w:tblGrid>
      <w:tr w:rsidR="001500E8" w:rsidRPr="005D55DC" w14:paraId="0976C495" w14:textId="77777777" w:rsidTr="00F628C4">
        <w:trPr>
          <w:trHeight w:val="300"/>
        </w:trPr>
        <w:tc>
          <w:tcPr>
            <w:tcW w:w="21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6920A0A4" w14:textId="2A1BB12B" w:rsidR="001500E8" w:rsidRPr="005D55DC" w:rsidRDefault="003557FC" w:rsidP="003557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Area-level – FGD groups 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23BF9B22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1]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08AF1BE1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2]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40CD46E1" w14:textId="77777777" w:rsidR="001500E8" w:rsidRPr="005D55DC" w:rsidRDefault="001500E8" w:rsidP="009A1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[Location 3]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EF2F3" w:themeFill="accent2"/>
            <w:noWrap/>
            <w:vAlign w:val="bottom"/>
            <w:hideMark/>
          </w:tcPr>
          <w:p w14:paraId="1E24EBCC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</w:tr>
      <w:tr w:rsidR="007C4E96" w:rsidRPr="005D55DC" w14:paraId="53AD7CD9" w14:textId="77777777" w:rsidTr="007C4E96">
        <w:trPr>
          <w:trHeight w:val="30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48F2" w14:textId="3AAB36B0" w:rsidR="007C4E96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men displaced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23F7" w14:textId="7215B2E9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691C" w14:textId="7841097B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041B9" w14:textId="4ED2638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9614EB" w14:textId="74E34B73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4E96" w:rsidRPr="005D55DC" w14:paraId="7D22C52B" w14:textId="77777777" w:rsidTr="007C4E96">
        <w:trPr>
          <w:trHeight w:val="30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DC84" w14:textId="3F22CAC1" w:rsidR="007C4E96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men host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77358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C413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CDB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B000FC" w14:textId="77777777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4E96" w:rsidRPr="005D55DC" w14:paraId="7F2F404C" w14:textId="77777777" w:rsidTr="007C4E96">
        <w:trPr>
          <w:trHeight w:val="30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30BF7" w14:textId="25535EB3" w:rsidR="007C4E96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adult women displaced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EDA9F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E214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EC45A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AF752D" w14:textId="77777777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4E96" w:rsidRPr="005D55DC" w14:paraId="792A68D5" w14:textId="77777777" w:rsidTr="007C4E96">
        <w:trPr>
          <w:trHeight w:val="30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94AD" w14:textId="581D0A4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color w:val="000000"/>
              </w:rPr>
              <w:t>Number o</w:t>
            </w:r>
            <w:r w:rsidR="005D55DC" w:rsidRPr="005D55DC">
              <w:rPr>
                <w:rFonts w:ascii="Calibri" w:eastAsia="Times New Roman" w:hAnsi="Calibri" w:cs="Times New Roman"/>
                <w:color w:val="000000"/>
              </w:rPr>
              <w:t>f adult women host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8E70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B0D25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0F99" w14:textId="7777777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871B2D" w14:textId="77777777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4E96" w:rsidRPr="005D55DC" w14:paraId="51A5F84F" w14:textId="77777777" w:rsidTr="007C4E96">
        <w:trPr>
          <w:trHeight w:val="30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65E0" w14:textId="3DDD48D1" w:rsidR="007C4E96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youth displaced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2270" w14:textId="54009AAC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D0EA" w14:textId="1EEBB80D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A3FC" w14:textId="7A7CC057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6BCD0B" w14:textId="457D7EF8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4E96" w:rsidRPr="005D55DC" w14:paraId="70D2F423" w14:textId="77777777" w:rsidTr="007C4E96">
        <w:trPr>
          <w:trHeight w:val="30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DC51" w14:textId="302A2723" w:rsidR="007C4E96" w:rsidRPr="005D55DC" w:rsidRDefault="005D55DC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  <w:r w:rsidRPr="005D55DC">
              <w:rPr>
                <w:rFonts w:ascii="Calibri" w:eastAsia="Times New Roman" w:hAnsi="Calibri" w:cs="Times New Roman"/>
                <w:color w:val="000000"/>
              </w:rPr>
              <w:t>umber of youth host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05AA" w14:textId="66218B8D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165D" w14:textId="2A1797A6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CABD3" w14:textId="7EF5785E" w:rsidR="007C4E96" w:rsidRPr="005D55DC" w:rsidRDefault="007C4E96" w:rsidP="007C4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68A6C7" w14:textId="363A8B0E" w:rsidR="007C4E96" w:rsidRPr="005D55DC" w:rsidRDefault="007C4E96" w:rsidP="007C4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500E8" w:rsidRPr="005D55DC" w14:paraId="3290455C" w14:textId="77777777" w:rsidTr="007C4E96">
        <w:trPr>
          <w:trHeight w:val="315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C65E" w14:textId="77777777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D55DC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F452" w14:textId="637545AC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39E0C" w14:textId="14B0F35F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2E4F1" w14:textId="2DB505EC" w:rsidR="001500E8" w:rsidRPr="005D55DC" w:rsidRDefault="001500E8" w:rsidP="009A1E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85A178" w14:textId="2FF38EAB" w:rsidR="001500E8" w:rsidRPr="005D55DC" w:rsidRDefault="001500E8" w:rsidP="009A1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63C1A499" w14:textId="77777777" w:rsidR="001500E8" w:rsidRPr="005D55DC" w:rsidRDefault="001500E8" w:rsidP="001500E8">
      <w:pPr>
        <w:rPr>
          <w:rFonts w:ascii="Calibri" w:hAnsi="Calibri"/>
          <w:i/>
        </w:rPr>
      </w:pPr>
    </w:p>
    <w:p w14:paraId="68E2876C" w14:textId="242286BD" w:rsidR="001500E8" w:rsidRPr="005D55DC" w:rsidRDefault="001500E8" w:rsidP="001500E8">
      <w:pPr>
        <w:rPr>
          <w:rFonts w:ascii="Calibri" w:hAnsi="Calibri"/>
        </w:rPr>
      </w:pPr>
    </w:p>
    <w:sectPr w:rsidR="001500E8" w:rsidRPr="005D55DC" w:rsidSect="00392B9F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3ECDC" w14:textId="77777777" w:rsidR="00A52718" w:rsidRDefault="00A52718" w:rsidP="003B795D">
      <w:pPr>
        <w:spacing w:after="0" w:line="240" w:lineRule="auto"/>
      </w:pPr>
      <w:r>
        <w:separator/>
      </w:r>
    </w:p>
  </w:endnote>
  <w:endnote w:type="continuationSeparator" w:id="0">
    <w:p w14:paraId="13832057" w14:textId="77777777" w:rsidR="00A52718" w:rsidRDefault="00A52718" w:rsidP="003B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</w:rPr>
      <w:id w:val="7881650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6167C2" w14:textId="7CBC5DBB" w:rsidR="00930948" w:rsidRPr="00930948" w:rsidRDefault="00930948" w:rsidP="003557FC">
        <w:pPr>
          <w:pStyle w:val="Footer"/>
          <w:rPr>
            <w:rFonts w:ascii="Cambria" w:hAnsi="Cambria"/>
          </w:rPr>
        </w:pPr>
        <w:r w:rsidRPr="005D55DC">
          <w:rPr>
            <w:rFonts w:ascii="Calibri" w:hAnsi="Calibri"/>
          </w:rPr>
          <w:t>Tool 10: Urban</w:t>
        </w:r>
        <w:r w:rsidR="005D55DC" w:rsidRPr="005D55DC">
          <w:rPr>
            <w:rFonts w:ascii="Calibri" w:hAnsi="Calibri"/>
          </w:rPr>
          <w:t xml:space="preserve"> context analysis final report outline</w:t>
        </w:r>
        <w:r w:rsidR="003557FC">
          <w:rPr>
            <w:rFonts w:ascii="Calibri" w:hAnsi="Calibri"/>
          </w:rPr>
          <w:tab/>
        </w:r>
        <w:r w:rsidRPr="005D55DC">
          <w:tab/>
        </w:r>
        <w:r w:rsidRPr="005D55DC">
          <w:fldChar w:fldCharType="begin"/>
        </w:r>
        <w:r w:rsidRPr="005D55DC">
          <w:instrText xml:space="preserve"> PAGE   \* MERGEFORMAT </w:instrText>
        </w:r>
        <w:r w:rsidRPr="005D55DC">
          <w:fldChar w:fldCharType="separate"/>
        </w:r>
        <w:r w:rsidR="003E5F43">
          <w:rPr>
            <w:noProof/>
          </w:rPr>
          <w:t>1</w:t>
        </w:r>
        <w:r w:rsidRPr="005D55D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AB4D2" w14:textId="77777777" w:rsidR="00A52718" w:rsidRDefault="00A52718" w:rsidP="003B795D">
      <w:pPr>
        <w:spacing w:after="0" w:line="240" w:lineRule="auto"/>
      </w:pPr>
      <w:r>
        <w:separator/>
      </w:r>
    </w:p>
  </w:footnote>
  <w:footnote w:type="continuationSeparator" w:id="0">
    <w:p w14:paraId="59D5A252" w14:textId="77777777" w:rsidR="00A52718" w:rsidRDefault="00A52718" w:rsidP="003B7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529A1"/>
    <w:multiLevelType w:val="hybridMultilevel"/>
    <w:tmpl w:val="B868F4C6"/>
    <w:lvl w:ilvl="0" w:tplc="FC3ADC8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365C7"/>
    <w:multiLevelType w:val="hybridMultilevel"/>
    <w:tmpl w:val="AC9A177C"/>
    <w:lvl w:ilvl="0" w:tplc="FC3ADC8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1" w:tplc="0592EBBE">
      <w:start w:val="1"/>
      <w:numFmt w:val="lowerLetter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325A3220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sz w:val="16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74456"/>
    <w:multiLevelType w:val="hybridMultilevel"/>
    <w:tmpl w:val="C074A55A"/>
    <w:lvl w:ilvl="0" w:tplc="04090013">
      <w:start w:val="1"/>
      <w:numFmt w:val="upperRoman"/>
      <w:lvlText w:val="%1."/>
      <w:lvlJc w:val="righ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2F644F3F"/>
    <w:multiLevelType w:val="hybridMultilevel"/>
    <w:tmpl w:val="10C2224A"/>
    <w:lvl w:ilvl="0" w:tplc="D12894D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z w:val="22"/>
        <w:szCs w:val="22"/>
      </w:rPr>
    </w:lvl>
    <w:lvl w:ilvl="1" w:tplc="6194CD2A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01F27"/>
    <w:multiLevelType w:val="hybridMultilevel"/>
    <w:tmpl w:val="A9084708"/>
    <w:lvl w:ilvl="0" w:tplc="F89E83E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1A3E65"/>
    <w:multiLevelType w:val="hybridMultilevel"/>
    <w:tmpl w:val="23C47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F272B50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C4"/>
    <w:rsid w:val="00067992"/>
    <w:rsid w:val="00083798"/>
    <w:rsid w:val="000A02EB"/>
    <w:rsid w:val="000F4202"/>
    <w:rsid w:val="000F7BA9"/>
    <w:rsid w:val="00126A15"/>
    <w:rsid w:val="00132A3B"/>
    <w:rsid w:val="0013714A"/>
    <w:rsid w:val="001500E8"/>
    <w:rsid w:val="00154B1E"/>
    <w:rsid w:val="001667D6"/>
    <w:rsid w:val="001E0037"/>
    <w:rsid w:val="002270A3"/>
    <w:rsid w:val="0027750A"/>
    <w:rsid w:val="002C6930"/>
    <w:rsid w:val="002E1633"/>
    <w:rsid w:val="003145B1"/>
    <w:rsid w:val="00345570"/>
    <w:rsid w:val="003557FC"/>
    <w:rsid w:val="00386746"/>
    <w:rsid w:val="00392B9F"/>
    <w:rsid w:val="003B0AF6"/>
    <w:rsid w:val="003B795D"/>
    <w:rsid w:val="003C6C73"/>
    <w:rsid w:val="003D264C"/>
    <w:rsid w:val="003E5F43"/>
    <w:rsid w:val="00410248"/>
    <w:rsid w:val="00410677"/>
    <w:rsid w:val="0041450F"/>
    <w:rsid w:val="004367FE"/>
    <w:rsid w:val="00453A83"/>
    <w:rsid w:val="00455F30"/>
    <w:rsid w:val="0048786A"/>
    <w:rsid w:val="00490F68"/>
    <w:rsid w:val="00495D79"/>
    <w:rsid w:val="00503723"/>
    <w:rsid w:val="00546E45"/>
    <w:rsid w:val="005606E1"/>
    <w:rsid w:val="0057781F"/>
    <w:rsid w:val="00591FD9"/>
    <w:rsid w:val="005924C7"/>
    <w:rsid w:val="005D55DC"/>
    <w:rsid w:val="005E4526"/>
    <w:rsid w:val="00623AF5"/>
    <w:rsid w:val="006447A3"/>
    <w:rsid w:val="0066138D"/>
    <w:rsid w:val="006A0978"/>
    <w:rsid w:val="006E4FE6"/>
    <w:rsid w:val="00711847"/>
    <w:rsid w:val="00714947"/>
    <w:rsid w:val="0071775E"/>
    <w:rsid w:val="00741700"/>
    <w:rsid w:val="00764864"/>
    <w:rsid w:val="00767210"/>
    <w:rsid w:val="00775614"/>
    <w:rsid w:val="00785982"/>
    <w:rsid w:val="007A62A9"/>
    <w:rsid w:val="007C4E96"/>
    <w:rsid w:val="00821B55"/>
    <w:rsid w:val="00824970"/>
    <w:rsid w:val="00842A48"/>
    <w:rsid w:val="00846F05"/>
    <w:rsid w:val="00847453"/>
    <w:rsid w:val="00873E61"/>
    <w:rsid w:val="00885C5E"/>
    <w:rsid w:val="00895655"/>
    <w:rsid w:val="008B5592"/>
    <w:rsid w:val="008B72B4"/>
    <w:rsid w:val="008C1602"/>
    <w:rsid w:val="008C3980"/>
    <w:rsid w:val="008D684D"/>
    <w:rsid w:val="008E0ED2"/>
    <w:rsid w:val="008F2680"/>
    <w:rsid w:val="008F4C1B"/>
    <w:rsid w:val="009158A5"/>
    <w:rsid w:val="00930948"/>
    <w:rsid w:val="00933BDA"/>
    <w:rsid w:val="009C2292"/>
    <w:rsid w:val="009F586D"/>
    <w:rsid w:val="00A13C6D"/>
    <w:rsid w:val="00A52718"/>
    <w:rsid w:val="00A669CD"/>
    <w:rsid w:val="00A70665"/>
    <w:rsid w:val="00AC1789"/>
    <w:rsid w:val="00AD32DA"/>
    <w:rsid w:val="00AE2CC4"/>
    <w:rsid w:val="00AF4A9A"/>
    <w:rsid w:val="00B126C5"/>
    <w:rsid w:val="00B3130A"/>
    <w:rsid w:val="00B442B1"/>
    <w:rsid w:val="00B4554F"/>
    <w:rsid w:val="00BB3864"/>
    <w:rsid w:val="00BB3E92"/>
    <w:rsid w:val="00BC7C26"/>
    <w:rsid w:val="00BE062F"/>
    <w:rsid w:val="00BE3DEB"/>
    <w:rsid w:val="00BF349F"/>
    <w:rsid w:val="00C10B1F"/>
    <w:rsid w:val="00C124D1"/>
    <w:rsid w:val="00C22A76"/>
    <w:rsid w:val="00C22DAE"/>
    <w:rsid w:val="00C377D1"/>
    <w:rsid w:val="00C57EA2"/>
    <w:rsid w:val="00C7001F"/>
    <w:rsid w:val="00C87DC1"/>
    <w:rsid w:val="00C945EC"/>
    <w:rsid w:val="00C97213"/>
    <w:rsid w:val="00CD4F21"/>
    <w:rsid w:val="00D17258"/>
    <w:rsid w:val="00D530A9"/>
    <w:rsid w:val="00D85F6D"/>
    <w:rsid w:val="00D926CF"/>
    <w:rsid w:val="00DA2195"/>
    <w:rsid w:val="00DE3F95"/>
    <w:rsid w:val="00E149DE"/>
    <w:rsid w:val="00E56FE5"/>
    <w:rsid w:val="00EE0822"/>
    <w:rsid w:val="00EE7EF6"/>
    <w:rsid w:val="00F167AF"/>
    <w:rsid w:val="00F628C4"/>
    <w:rsid w:val="00F768E8"/>
    <w:rsid w:val="00F84F93"/>
    <w:rsid w:val="00FB4070"/>
    <w:rsid w:val="00FC75A8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C8F2EC"/>
  <w15:docId w15:val="{65DB153B-61B6-42B9-BB9E-1D51727E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5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68C90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C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42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42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42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2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2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2B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7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95D"/>
  </w:style>
  <w:style w:type="paragraph" w:styleId="Footer">
    <w:name w:val="footer"/>
    <w:basedOn w:val="Normal"/>
    <w:link w:val="FooterChar"/>
    <w:uiPriority w:val="99"/>
    <w:unhideWhenUsed/>
    <w:rsid w:val="003B7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95D"/>
  </w:style>
  <w:style w:type="character" w:customStyle="1" w:styleId="Heading1Char">
    <w:name w:val="Heading 1 Char"/>
    <w:basedOn w:val="DefaultParagraphFont"/>
    <w:link w:val="Heading1"/>
    <w:uiPriority w:val="9"/>
    <w:rsid w:val="005D55DC"/>
    <w:rPr>
      <w:rFonts w:asciiTheme="majorHAnsi" w:eastAsiaTheme="majorEastAsia" w:hAnsiTheme="majorHAnsi" w:cstheme="majorBidi"/>
      <w:b/>
      <w:bCs/>
      <w:color w:val="068C90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IRC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8BCC1"/>
      </a:accent1>
      <a:accent2>
        <a:srgbClr val="CEF2F3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C4D3-5666-4529-A2F5-82D3C8E4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Anderson</dc:creator>
  <cp:lastModifiedBy>Andrew Meaux</cp:lastModifiedBy>
  <cp:revision>6</cp:revision>
  <dcterms:created xsi:type="dcterms:W3CDTF">2017-06-09T10:43:00Z</dcterms:created>
  <dcterms:modified xsi:type="dcterms:W3CDTF">2017-06-21T19:52:00Z</dcterms:modified>
</cp:coreProperties>
</file>